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 April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BlueLayer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Software Engineer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Built a DATEV-compliant reconciliation platform for 15+ marketplaces and gateways, ensuring accurate financial reporting across complex systems. BlueLayer’s mission to scale credible carbon credit supply requires infrastructure that automates compliance and handles high-volume data—challenges I addressed directly through scalable backend systems and regulatory-aligned tools.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At Yoobux, I architected a scalable AWS backend using Node.js and Express, supporting high-throughput transaction processing. This system handled 300,000+ call minutes monthly while maintaining sub-100ms latency. Separately, I delivered VAT-compliant exports for cross-border EU transactions at Zeitner GmbH, automating reconciliation workflows for 15+ marketplaces. Both projects required aligning technical solutions with strict regulatory frameworks, a skill directly applicable to BlueLayer’s need for compliant, scalable MRV tools.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I’m particularly drawn to BlueLayer’s focus on infrastructure that enables credible carbon credit scaling. I’d welcome the opportunity to discuss how my experience in building compliant, high-volume systems can contribute to your mission. Please let me know a convenient time to speak.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